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EB45B" w14:textId="7E7BBC53" w:rsidR="00FE7F8F" w:rsidRPr="00C34AD5" w:rsidRDefault="009309E6" w:rsidP="00C34AD5">
      <w:pPr>
        <w:jc w:val="center"/>
        <w:rPr>
          <w:b/>
          <w:bCs/>
          <w:sz w:val="20"/>
          <w:szCs w:val="20"/>
          <w:u w:val="single"/>
        </w:rPr>
      </w:pPr>
      <w:r w:rsidRPr="00C34AD5">
        <w:rPr>
          <w:b/>
          <w:bCs/>
          <w:sz w:val="20"/>
          <w:szCs w:val="20"/>
          <w:u w:val="single"/>
        </w:rPr>
        <w:t>New Expense Policy – Out of Compliance Expense Recoupment Process</w:t>
      </w:r>
    </w:p>
    <w:p w14:paraId="266686C2" w14:textId="42A7D65D" w:rsidR="009309E6" w:rsidRPr="00C34AD5" w:rsidRDefault="009309E6">
      <w:pPr>
        <w:rPr>
          <w:sz w:val="20"/>
          <w:szCs w:val="20"/>
        </w:rPr>
      </w:pPr>
      <w:r w:rsidRPr="00C34AD5">
        <w:rPr>
          <w:sz w:val="20"/>
          <w:szCs w:val="20"/>
        </w:rPr>
        <w:t xml:space="preserve">Effective for expenses incurred or paid on or after March 1, </w:t>
      </w:r>
      <w:proofErr w:type="gramStart"/>
      <w:r w:rsidRPr="00C34AD5">
        <w:rPr>
          <w:sz w:val="20"/>
          <w:szCs w:val="20"/>
        </w:rPr>
        <w:t>2025</w:t>
      </w:r>
      <w:proofErr w:type="gramEnd"/>
      <w:r w:rsidRPr="00C34AD5">
        <w:rPr>
          <w:sz w:val="20"/>
          <w:szCs w:val="20"/>
        </w:rPr>
        <w:t xml:space="preserve"> the corresponding expense report needs to be submitted within 60 days.  For any corporate card expenses with an expense report not submitted within 60 days, the following process will occur to recoup those expenses from the employee through a payroll deduction:</w:t>
      </w:r>
    </w:p>
    <w:p w14:paraId="7DB0B0DC" w14:textId="77777777" w:rsidR="009309E6" w:rsidRPr="00C34AD5" w:rsidRDefault="009309E6">
      <w:pPr>
        <w:rPr>
          <w:sz w:val="20"/>
          <w:szCs w:val="20"/>
        </w:rPr>
      </w:pPr>
      <w:r w:rsidRPr="00C34AD5">
        <w:rPr>
          <w:b/>
          <w:bCs/>
          <w:sz w:val="20"/>
          <w:szCs w:val="20"/>
          <w:u w:val="single"/>
        </w:rPr>
        <w:t>Step 1</w:t>
      </w:r>
      <w:r w:rsidRPr="00C34AD5">
        <w:rPr>
          <w:sz w:val="20"/>
          <w:szCs w:val="20"/>
        </w:rPr>
        <w:t xml:space="preserve">: At 61 days, corporate card team will put the card on hold – preventing users from incurring additional charges – and follow up with the card holder to encourage reconciliation and submission of an expense report.  </w:t>
      </w:r>
    </w:p>
    <w:p w14:paraId="39849602" w14:textId="2A9F4A1C" w:rsidR="009309E6" w:rsidRPr="00C34AD5" w:rsidRDefault="009309E6">
      <w:pPr>
        <w:rPr>
          <w:sz w:val="20"/>
          <w:szCs w:val="20"/>
        </w:rPr>
      </w:pPr>
      <w:r w:rsidRPr="00C34AD5">
        <w:rPr>
          <w:b/>
          <w:bCs/>
          <w:sz w:val="20"/>
          <w:szCs w:val="20"/>
          <w:u w:val="single"/>
        </w:rPr>
        <w:t>Step 2</w:t>
      </w:r>
      <w:r w:rsidR="00526507" w:rsidRPr="00C34AD5">
        <w:rPr>
          <w:b/>
          <w:bCs/>
          <w:sz w:val="20"/>
          <w:szCs w:val="20"/>
          <w:u w:val="single"/>
        </w:rPr>
        <w:t>a</w:t>
      </w:r>
      <w:r w:rsidRPr="00C34AD5">
        <w:rPr>
          <w:sz w:val="20"/>
          <w:szCs w:val="20"/>
        </w:rPr>
        <w:t>: Card holder submits an expense report for those charges greater than 6</w:t>
      </w:r>
      <w:r w:rsidR="007E7C11">
        <w:rPr>
          <w:sz w:val="20"/>
          <w:szCs w:val="20"/>
        </w:rPr>
        <w:t>0</w:t>
      </w:r>
      <w:r w:rsidRPr="00C34AD5">
        <w:rPr>
          <w:sz w:val="20"/>
          <w:szCs w:val="20"/>
        </w:rPr>
        <w:t xml:space="preserve"> days.  Given that the reconciliation period has passed, the card holder will need to submit the </w:t>
      </w:r>
      <w:r w:rsidR="006049EC" w:rsidRPr="00C34AD5">
        <w:rPr>
          <w:sz w:val="20"/>
          <w:szCs w:val="20"/>
        </w:rPr>
        <w:t>out-of-compliance</w:t>
      </w:r>
      <w:r w:rsidRPr="00C34AD5">
        <w:rPr>
          <w:sz w:val="20"/>
          <w:szCs w:val="20"/>
        </w:rPr>
        <w:t xml:space="preserve"> </w:t>
      </w:r>
      <w:proofErr w:type="gramStart"/>
      <w:r w:rsidRPr="00C34AD5">
        <w:rPr>
          <w:sz w:val="20"/>
          <w:szCs w:val="20"/>
        </w:rPr>
        <w:t>expenses as</w:t>
      </w:r>
      <w:proofErr w:type="gramEnd"/>
      <w:r w:rsidRPr="00C34AD5">
        <w:rPr>
          <w:sz w:val="20"/>
          <w:szCs w:val="20"/>
        </w:rPr>
        <w:t xml:space="preserve"> </w:t>
      </w:r>
      <w:proofErr w:type="gramStart"/>
      <w:r w:rsidRPr="00C34AD5">
        <w:rPr>
          <w:sz w:val="20"/>
          <w:szCs w:val="20"/>
        </w:rPr>
        <w:t>personal</w:t>
      </w:r>
      <w:proofErr w:type="gramEnd"/>
      <w:r w:rsidRPr="00C34AD5">
        <w:rPr>
          <w:sz w:val="20"/>
          <w:szCs w:val="20"/>
        </w:rPr>
        <w:t>:</w:t>
      </w:r>
    </w:p>
    <w:p w14:paraId="709F8741" w14:textId="2F75E798" w:rsidR="00704A82" w:rsidRDefault="00704A82" w:rsidP="00704A82">
      <w:pPr>
        <w:jc w:val="center"/>
        <w:rPr>
          <w:sz w:val="20"/>
          <w:szCs w:val="20"/>
        </w:rPr>
      </w:pPr>
      <w:r>
        <w:rPr>
          <w:noProof/>
        </w:rPr>
        <w:drawing>
          <wp:inline distT="0" distB="0" distL="0" distR="0" wp14:anchorId="594280BE" wp14:editId="42C4B7E8">
            <wp:extent cx="2933206" cy="3706305"/>
            <wp:effectExtent l="0" t="0" r="635" b="8890"/>
            <wp:docPr id="212673351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733510" name="Picture 1" descr="A screenshot of a computer&#10;&#10;AI-generated content may be incorrect."/>
                    <pic:cNvPicPr/>
                  </pic:nvPicPr>
                  <pic:blipFill>
                    <a:blip r:embed="rId4"/>
                    <a:stretch>
                      <a:fillRect/>
                    </a:stretch>
                  </pic:blipFill>
                  <pic:spPr>
                    <a:xfrm>
                      <a:off x="0" y="0"/>
                      <a:ext cx="2944768" cy="3720915"/>
                    </a:xfrm>
                    <a:prstGeom prst="rect">
                      <a:avLst/>
                    </a:prstGeom>
                  </pic:spPr>
                </pic:pic>
              </a:graphicData>
            </a:graphic>
          </wp:inline>
        </w:drawing>
      </w:r>
    </w:p>
    <w:p w14:paraId="3F745402" w14:textId="77777777" w:rsidR="00704A82" w:rsidRDefault="00704A82">
      <w:pPr>
        <w:rPr>
          <w:b/>
          <w:bCs/>
          <w:i/>
          <w:iCs/>
          <w:sz w:val="20"/>
          <w:szCs w:val="20"/>
        </w:rPr>
      </w:pPr>
    </w:p>
    <w:p w14:paraId="4390E6B8" w14:textId="77777777" w:rsidR="00704A82" w:rsidRDefault="00704A82">
      <w:pPr>
        <w:rPr>
          <w:b/>
          <w:bCs/>
          <w:i/>
          <w:iCs/>
          <w:sz w:val="20"/>
          <w:szCs w:val="20"/>
        </w:rPr>
      </w:pPr>
    </w:p>
    <w:p w14:paraId="17713445" w14:textId="77777777" w:rsidR="00704A82" w:rsidRDefault="00704A82">
      <w:pPr>
        <w:rPr>
          <w:b/>
          <w:bCs/>
          <w:i/>
          <w:iCs/>
          <w:sz w:val="20"/>
          <w:szCs w:val="20"/>
        </w:rPr>
      </w:pPr>
    </w:p>
    <w:p w14:paraId="25E314ED" w14:textId="77777777" w:rsidR="00704A82" w:rsidRDefault="00704A82">
      <w:pPr>
        <w:rPr>
          <w:b/>
          <w:bCs/>
          <w:i/>
          <w:iCs/>
          <w:sz w:val="20"/>
          <w:szCs w:val="20"/>
        </w:rPr>
      </w:pPr>
    </w:p>
    <w:p w14:paraId="7A7CC768" w14:textId="77777777" w:rsidR="00704A82" w:rsidRDefault="00704A82">
      <w:pPr>
        <w:rPr>
          <w:b/>
          <w:bCs/>
          <w:i/>
          <w:iCs/>
          <w:sz w:val="20"/>
          <w:szCs w:val="20"/>
        </w:rPr>
      </w:pPr>
    </w:p>
    <w:p w14:paraId="782E22ED" w14:textId="77777777" w:rsidR="00704A82" w:rsidRDefault="00704A82">
      <w:pPr>
        <w:rPr>
          <w:b/>
          <w:bCs/>
          <w:i/>
          <w:iCs/>
          <w:sz w:val="20"/>
          <w:szCs w:val="20"/>
        </w:rPr>
      </w:pPr>
    </w:p>
    <w:p w14:paraId="78276734" w14:textId="77777777" w:rsidR="00704A82" w:rsidRDefault="00704A82">
      <w:pPr>
        <w:rPr>
          <w:b/>
          <w:bCs/>
          <w:i/>
          <w:iCs/>
          <w:sz w:val="20"/>
          <w:szCs w:val="20"/>
        </w:rPr>
      </w:pPr>
    </w:p>
    <w:p w14:paraId="535E9A9F" w14:textId="1CFEDB15" w:rsidR="009309E6" w:rsidRPr="00C34AD5" w:rsidRDefault="006B1F3A">
      <w:pPr>
        <w:rPr>
          <w:sz w:val="20"/>
          <w:szCs w:val="20"/>
        </w:rPr>
      </w:pPr>
      <w:r w:rsidRPr="00C34AD5">
        <w:rPr>
          <w:b/>
          <w:bCs/>
          <w:i/>
          <w:iCs/>
          <w:sz w:val="20"/>
          <w:szCs w:val="20"/>
        </w:rPr>
        <w:lastRenderedPageBreak/>
        <w:t>Note</w:t>
      </w:r>
      <w:r w:rsidRPr="00C34AD5">
        <w:rPr>
          <w:sz w:val="20"/>
          <w:szCs w:val="20"/>
        </w:rPr>
        <w:t>: If users</w:t>
      </w:r>
      <w:r w:rsidR="000126DE" w:rsidRPr="00C34AD5">
        <w:rPr>
          <w:sz w:val="20"/>
          <w:szCs w:val="20"/>
        </w:rPr>
        <w:t xml:space="preserve"> have expense line items that are greater than 60 days aged, the </w:t>
      </w:r>
      <w:r w:rsidR="006049EC" w:rsidRPr="00C34AD5">
        <w:rPr>
          <w:sz w:val="20"/>
          <w:szCs w:val="20"/>
        </w:rPr>
        <w:t>messaging below</w:t>
      </w:r>
      <w:r w:rsidR="000126DE" w:rsidRPr="00C34AD5">
        <w:rPr>
          <w:sz w:val="20"/>
          <w:szCs w:val="20"/>
        </w:rPr>
        <w:t xml:space="preserve"> will appear in </w:t>
      </w:r>
      <w:r w:rsidR="000126DE" w:rsidRPr="00B40F8C">
        <w:rPr>
          <w:sz w:val="20"/>
          <w:szCs w:val="20"/>
        </w:rPr>
        <w:t>Workday while completing the</w:t>
      </w:r>
      <w:r w:rsidR="000126DE" w:rsidRPr="00C34AD5">
        <w:rPr>
          <w:sz w:val="20"/>
          <w:szCs w:val="20"/>
        </w:rPr>
        <w:t xml:space="preserve"> expense report:</w:t>
      </w:r>
    </w:p>
    <w:p w14:paraId="252E7C4D" w14:textId="1AAF2709" w:rsidR="00E41781" w:rsidRDefault="00E41781">
      <w:pPr>
        <w:rPr>
          <w:b/>
          <w:bCs/>
          <w:sz w:val="20"/>
          <w:szCs w:val="20"/>
          <w:u w:val="single"/>
        </w:rPr>
      </w:pPr>
      <w:r>
        <w:rPr>
          <w:noProof/>
        </w:rPr>
        <w:drawing>
          <wp:inline distT="0" distB="0" distL="0" distR="0" wp14:anchorId="133A42DE" wp14:editId="5FC8EF8F">
            <wp:extent cx="5943600" cy="3182620"/>
            <wp:effectExtent l="0" t="0" r="0" b="0"/>
            <wp:docPr id="97697737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977371" name="Picture 1" descr="A screenshot of a computer&#10;&#10;AI-generated content may be incorrect."/>
                    <pic:cNvPicPr/>
                  </pic:nvPicPr>
                  <pic:blipFill>
                    <a:blip r:embed="rId5"/>
                    <a:stretch>
                      <a:fillRect/>
                    </a:stretch>
                  </pic:blipFill>
                  <pic:spPr>
                    <a:xfrm>
                      <a:off x="0" y="0"/>
                      <a:ext cx="5943600" cy="3182620"/>
                    </a:xfrm>
                    <a:prstGeom prst="rect">
                      <a:avLst/>
                    </a:prstGeom>
                  </pic:spPr>
                </pic:pic>
              </a:graphicData>
            </a:graphic>
          </wp:inline>
        </w:drawing>
      </w:r>
      <w:r w:rsidRPr="00C34AD5">
        <w:rPr>
          <w:b/>
          <w:bCs/>
          <w:sz w:val="20"/>
          <w:szCs w:val="20"/>
          <w:u w:val="single"/>
        </w:rPr>
        <w:t xml:space="preserve"> </w:t>
      </w:r>
    </w:p>
    <w:p w14:paraId="4C928758" w14:textId="5AB95D80" w:rsidR="00E41781" w:rsidRDefault="00526507" w:rsidP="00704A82">
      <w:pPr>
        <w:rPr>
          <w:sz w:val="20"/>
          <w:szCs w:val="20"/>
        </w:rPr>
      </w:pPr>
      <w:r w:rsidRPr="00C34AD5">
        <w:rPr>
          <w:b/>
          <w:bCs/>
          <w:sz w:val="20"/>
          <w:szCs w:val="20"/>
          <w:u w:val="single"/>
        </w:rPr>
        <w:t>Step 2b</w:t>
      </w:r>
      <w:r w:rsidRPr="00C34AD5">
        <w:rPr>
          <w:sz w:val="20"/>
          <w:szCs w:val="20"/>
        </w:rPr>
        <w:t>: If the card holder received an exception for the expense over 60 days, that exception should be attached to the expense report and submitted using the appropriate category</w:t>
      </w:r>
      <w:r w:rsidR="00704A82">
        <w:rPr>
          <w:sz w:val="20"/>
          <w:szCs w:val="20"/>
        </w:rPr>
        <w:t>.</w:t>
      </w:r>
    </w:p>
    <w:p w14:paraId="7B74E868" w14:textId="2836777C" w:rsidR="00532BEF" w:rsidRPr="00C34AD5" w:rsidRDefault="00526507">
      <w:pPr>
        <w:rPr>
          <w:sz w:val="20"/>
          <w:szCs w:val="20"/>
        </w:rPr>
      </w:pPr>
      <w:r w:rsidRPr="00C34AD5">
        <w:rPr>
          <w:b/>
          <w:bCs/>
          <w:sz w:val="20"/>
          <w:szCs w:val="20"/>
          <w:u w:val="single"/>
        </w:rPr>
        <w:t>Step 3</w:t>
      </w:r>
      <w:r w:rsidRPr="00C34AD5">
        <w:rPr>
          <w:sz w:val="20"/>
          <w:szCs w:val="20"/>
        </w:rPr>
        <w:t xml:space="preserve">: The expense report will be routed to the disbursements team for review.  If the report includes expense lines over 60 days, the disbursements team will confirm that Steps 2a-b were appropriately completed by the cardholder.  If not, the expense report will </w:t>
      </w:r>
      <w:r w:rsidRPr="00335DE1">
        <w:rPr>
          <w:sz w:val="20"/>
          <w:szCs w:val="20"/>
        </w:rPr>
        <w:t xml:space="preserve">be </w:t>
      </w:r>
      <w:r w:rsidR="00335DE1" w:rsidRPr="00335DE1">
        <w:rPr>
          <w:sz w:val="20"/>
          <w:szCs w:val="20"/>
        </w:rPr>
        <w:t>sent</w:t>
      </w:r>
      <w:r w:rsidR="00532BEF" w:rsidRPr="00335DE1">
        <w:rPr>
          <w:sz w:val="20"/>
          <w:szCs w:val="20"/>
        </w:rPr>
        <w:t xml:space="preserve"> back to</w:t>
      </w:r>
      <w:r w:rsidR="00532BEF" w:rsidRPr="00C34AD5">
        <w:rPr>
          <w:sz w:val="20"/>
          <w:szCs w:val="20"/>
        </w:rPr>
        <w:t xml:space="preserve"> the cardholder to be corrected</w:t>
      </w:r>
      <w:r w:rsidR="009427C1" w:rsidRPr="00C34AD5">
        <w:rPr>
          <w:sz w:val="20"/>
          <w:szCs w:val="20"/>
        </w:rPr>
        <w:t xml:space="preserve"> (Step 2)</w:t>
      </w:r>
      <w:r w:rsidR="00532BEF" w:rsidRPr="00C34AD5">
        <w:rPr>
          <w:sz w:val="20"/>
          <w:szCs w:val="20"/>
        </w:rPr>
        <w:t xml:space="preserve">. </w:t>
      </w:r>
    </w:p>
    <w:p w14:paraId="5819E918" w14:textId="65424302" w:rsidR="000126DE" w:rsidRPr="00C34AD5" w:rsidRDefault="009427C1">
      <w:pPr>
        <w:rPr>
          <w:sz w:val="20"/>
          <w:szCs w:val="20"/>
        </w:rPr>
      </w:pPr>
      <w:r w:rsidRPr="00C34AD5">
        <w:rPr>
          <w:b/>
          <w:bCs/>
          <w:sz w:val="20"/>
          <w:szCs w:val="20"/>
          <w:u w:val="single"/>
        </w:rPr>
        <w:t>Step 4</w:t>
      </w:r>
      <w:r w:rsidRPr="00C34AD5">
        <w:rPr>
          <w:sz w:val="20"/>
          <w:szCs w:val="20"/>
        </w:rPr>
        <w:t>: Expense report settles.  Scheduled weekly report</w:t>
      </w:r>
      <w:r w:rsidR="00704A82">
        <w:rPr>
          <w:sz w:val="20"/>
          <w:szCs w:val="20"/>
        </w:rPr>
        <w:t>s</w:t>
      </w:r>
      <w:r w:rsidRPr="00C34AD5">
        <w:rPr>
          <w:sz w:val="20"/>
          <w:szCs w:val="20"/>
        </w:rPr>
        <w:t xml:space="preserve"> (</w:t>
      </w:r>
      <w:r w:rsidR="00704A82" w:rsidRPr="00704A82">
        <w:rPr>
          <w:sz w:val="20"/>
          <w:szCs w:val="20"/>
        </w:rPr>
        <w:t>FIN-EXP-Corp Card Recovery Expense Reports</w:t>
      </w:r>
      <w:r w:rsidR="00704A82">
        <w:rPr>
          <w:sz w:val="20"/>
          <w:szCs w:val="20"/>
        </w:rPr>
        <w:t xml:space="preserve"> and </w:t>
      </w:r>
      <w:r w:rsidR="00704A82" w:rsidRPr="00704A82">
        <w:rPr>
          <w:sz w:val="20"/>
          <w:szCs w:val="20"/>
        </w:rPr>
        <w:t>FIN-P2P-Corporate Card Recovery Procurement Card Transaction Verifications</w:t>
      </w:r>
      <w:r w:rsidRPr="00C34AD5">
        <w:rPr>
          <w:sz w:val="20"/>
          <w:szCs w:val="20"/>
        </w:rPr>
        <w:t xml:space="preserve">) </w:t>
      </w:r>
      <w:proofErr w:type="gramStart"/>
      <w:r w:rsidRPr="00C34AD5">
        <w:rPr>
          <w:sz w:val="20"/>
          <w:szCs w:val="20"/>
        </w:rPr>
        <w:t>runs</w:t>
      </w:r>
      <w:proofErr w:type="gramEnd"/>
      <w:r w:rsidRPr="00C34AD5">
        <w:rPr>
          <w:sz w:val="20"/>
          <w:szCs w:val="20"/>
        </w:rPr>
        <w:t xml:space="preserve"> from Workday showing the employee with expenses that charged </w:t>
      </w:r>
      <w:proofErr w:type="gramStart"/>
      <w:r w:rsidR="0016084B">
        <w:rPr>
          <w:sz w:val="20"/>
          <w:szCs w:val="20"/>
        </w:rPr>
        <w:t>account</w:t>
      </w:r>
      <w:proofErr w:type="gramEnd"/>
      <w:r w:rsidR="0016084B">
        <w:rPr>
          <w:sz w:val="20"/>
          <w:szCs w:val="20"/>
        </w:rPr>
        <w:t xml:space="preserve"> </w:t>
      </w:r>
      <w:r w:rsidR="009B5F1A" w:rsidRPr="009B5F1A">
        <w:rPr>
          <w:sz w:val="20"/>
          <w:szCs w:val="20"/>
        </w:rPr>
        <w:t>2007 Procurement Card/Travel Card Recovery</w:t>
      </w:r>
      <w:r w:rsidRPr="00C34AD5">
        <w:rPr>
          <w:sz w:val="20"/>
          <w:szCs w:val="20"/>
        </w:rPr>
        <w:t xml:space="preserve">.  </w:t>
      </w:r>
    </w:p>
    <w:p w14:paraId="1667AF19" w14:textId="044FF741" w:rsidR="009427C1" w:rsidRPr="00C34AD5" w:rsidRDefault="009427C1">
      <w:pPr>
        <w:rPr>
          <w:sz w:val="20"/>
          <w:szCs w:val="20"/>
        </w:rPr>
      </w:pPr>
      <w:r w:rsidRPr="00C34AD5">
        <w:rPr>
          <w:b/>
          <w:bCs/>
          <w:sz w:val="20"/>
          <w:szCs w:val="20"/>
          <w:u w:val="single"/>
        </w:rPr>
        <w:t>Step 5</w:t>
      </w:r>
      <w:r w:rsidRPr="00C34AD5">
        <w:rPr>
          <w:sz w:val="20"/>
          <w:szCs w:val="20"/>
        </w:rPr>
        <w:t xml:space="preserve">: Corporate card team to utilize report from Step 4 to </w:t>
      </w:r>
      <w:r w:rsidRPr="00704A82">
        <w:rPr>
          <w:sz w:val="20"/>
          <w:szCs w:val="20"/>
        </w:rPr>
        <w:t>complete EIB</w:t>
      </w:r>
      <w:r w:rsidRPr="00C34AD5">
        <w:rPr>
          <w:sz w:val="20"/>
          <w:szCs w:val="20"/>
        </w:rPr>
        <w:t xml:space="preserve"> for payroll deduction.  EIB needs to be submitted to Alicia Lopez in payroll by the following dates:</w:t>
      </w:r>
    </w:p>
    <w:p w14:paraId="7EA2432F" w14:textId="6D63F7EA" w:rsidR="009427C1" w:rsidRPr="00C34AD5" w:rsidRDefault="009427C1" w:rsidP="00704A82">
      <w:pPr>
        <w:ind w:left="270"/>
        <w:rPr>
          <w:sz w:val="20"/>
          <w:szCs w:val="20"/>
        </w:rPr>
      </w:pPr>
      <w:r w:rsidRPr="00704A82">
        <w:rPr>
          <w:sz w:val="20"/>
          <w:szCs w:val="20"/>
          <w:u w:val="single"/>
        </w:rPr>
        <w:t>Monthly Payroll Cutoff</w:t>
      </w:r>
      <w:r w:rsidRPr="00C34AD5">
        <w:rPr>
          <w:sz w:val="20"/>
          <w:szCs w:val="20"/>
        </w:rPr>
        <w:t>: no later than the 16</w:t>
      </w:r>
      <w:r w:rsidRPr="00C34AD5">
        <w:rPr>
          <w:sz w:val="20"/>
          <w:szCs w:val="20"/>
          <w:vertAlign w:val="superscript"/>
        </w:rPr>
        <w:t>th</w:t>
      </w:r>
      <w:r w:rsidRPr="00C34AD5">
        <w:rPr>
          <w:sz w:val="20"/>
          <w:szCs w:val="20"/>
        </w:rPr>
        <w:t xml:space="preserve"> of the month (i.e. May 16</w:t>
      </w:r>
      <w:r w:rsidRPr="00C34AD5">
        <w:rPr>
          <w:sz w:val="20"/>
          <w:szCs w:val="20"/>
          <w:vertAlign w:val="superscript"/>
        </w:rPr>
        <w:t>th</w:t>
      </w:r>
      <w:r w:rsidRPr="00C34AD5">
        <w:rPr>
          <w:sz w:val="20"/>
          <w:szCs w:val="20"/>
        </w:rPr>
        <w:t xml:space="preserve"> submission for May 31</w:t>
      </w:r>
      <w:r w:rsidRPr="00C34AD5">
        <w:rPr>
          <w:sz w:val="20"/>
          <w:szCs w:val="20"/>
          <w:vertAlign w:val="superscript"/>
        </w:rPr>
        <w:t>st</w:t>
      </w:r>
      <w:r w:rsidRPr="00C34AD5">
        <w:rPr>
          <w:sz w:val="20"/>
          <w:szCs w:val="20"/>
        </w:rPr>
        <w:t xml:space="preserve"> payroll)</w:t>
      </w:r>
    </w:p>
    <w:p w14:paraId="13823810" w14:textId="30C40726" w:rsidR="009427C1" w:rsidRPr="00C34AD5" w:rsidRDefault="009427C1" w:rsidP="00704A82">
      <w:pPr>
        <w:ind w:left="270"/>
        <w:rPr>
          <w:sz w:val="20"/>
          <w:szCs w:val="20"/>
        </w:rPr>
      </w:pPr>
      <w:r w:rsidRPr="00704A82">
        <w:rPr>
          <w:sz w:val="20"/>
          <w:szCs w:val="20"/>
          <w:u w:val="single"/>
        </w:rPr>
        <w:t>Bi-weekly Payroll Cutoff</w:t>
      </w:r>
      <w:r w:rsidRPr="00C34AD5">
        <w:rPr>
          <w:sz w:val="20"/>
          <w:szCs w:val="20"/>
        </w:rPr>
        <w:t>: no later than 8 days prior to the bi-weekly pay date (i.e. May 22</w:t>
      </w:r>
      <w:r w:rsidRPr="00C34AD5">
        <w:rPr>
          <w:sz w:val="20"/>
          <w:szCs w:val="20"/>
          <w:vertAlign w:val="superscript"/>
        </w:rPr>
        <w:t>nd</w:t>
      </w:r>
      <w:r w:rsidRPr="00C34AD5">
        <w:rPr>
          <w:sz w:val="20"/>
          <w:szCs w:val="20"/>
        </w:rPr>
        <w:t xml:space="preserve"> submission for May 30</w:t>
      </w:r>
      <w:r w:rsidRPr="00C34AD5">
        <w:rPr>
          <w:sz w:val="20"/>
          <w:szCs w:val="20"/>
          <w:vertAlign w:val="superscript"/>
        </w:rPr>
        <w:t>th</w:t>
      </w:r>
      <w:r w:rsidRPr="00C34AD5">
        <w:rPr>
          <w:sz w:val="20"/>
          <w:szCs w:val="20"/>
        </w:rPr>
        <w:t xml:space="preserve"> payroll)</w:t>
      </w:r>
      <w:r w:rsidR="0040498E" w:rsidRPr="00C34AD5">
        <w:rPr>
          <w:sz w:val="20"/>
          <w:szCs w:val="20"/>
        </w:rPr>
        <w:t xml:space="preserve">. See </w:t>
      </w:r>
      <w:hyperlink r:id="rId6" w:history="1">
        <w:r w:rsidR="0040498E" w:rsidRPr="00C34AD5">
          <w:rPr>
            <w:rStyle w:val="Hyperlink"/>
            <w:sz w:val="20"/>
            <w:szCs w:val="20"/>
          </w:rPr>
          <w:t>HR Pay Schedules</w:t>
        </w:r>
      </w:hyperlink>
      <w:r w:rsidR="0040498E" w:rsidRPr="00C34AD5">
        <w:rPr>
          <w:sz w:val="20"/>
          <w:szCs w:val="20"/>
        </w:rPr>
        <w:t xml:space="preserve"> for the current payroll schedule.</w:t>
      </w:r>
    </w:p>
    <w:p w14:paraId="77E7B5C6" w14:textId="17804CBD" w:rsidR="0032340E" w:rsidRPr="00C34AD5" w:rsidRDefault="0032340E">
      <w:pPr>
        <w:rPr>
          <w:sz w:val="20"/>
          <w:szCs w:val="20"/>
        </w:rPr>
      </w:pPr>
      <w:r w:rsidRPr="00C34AD5">
        <w:rPr>
          <w:b/>
          <w:bCs/>
          <w:sz w:val="20"/>
          <w:szCs w:val="20"/>
          <w:u w:val="single"/>
        </w:rPr>
        <w:t>Step 6</w:t>
      </w:r>
      <w:r w:rsidRPr="00C34AD5">
        <w:rPr>
          <w:sz w:val="20"/>
          <w:szCs w:val="20"/>
        </w:rPr>
        <w:t xml:space="preserve">: Payroll deduction is </w:t>
      </w:r>
      <w:r w:rsidR="00C34AD5" w:rsidRPr="00C34AD5">
        <w:rPr>
          <w:sz w:val="20"/>
          <w:szCs w:val="20"/>
        </w:rPr>
        <w:t>completed,</w:t>
      </w:r>
      <w:r w:rsidRPr="00C34AD5">
        <w:rPr>
          <w:sz w:val="20"/>
          <w:szCs w:val="20"/>
        </w:rPr>
        <w:t xml:space="preserve"> and personal expense amount is deducted from employee’s paycheck with the following limitations:</w:t>
      </w:r>
    </w:p>
    <w:tbl>
      <w:tblPr>
        <w:tblStyle w:val="TableGrid"/>
        <w:tblW w:w="0" w:type="auto"/>
        <w:jc w:val="center"/>
        <w:tblLook w:val="04A0" w:firstRow="1" w:lastRow="0" w:firstColumn="1" w:lastColumn="0" w:noHBand="0" w:noVBand="1"/>
      </w:tblPr>
      <w:tblGrid>
        <w:gridCol w:w="3235"/>
        <w:gridCol w:w="3510"/>
      </w:tblGrid>
      <w:tr w:rsidR="0032340E" w:rsidRPr="00C34AD5" w14:paraId="7273731E" w14:textId="77777777" w:rsidTr="0032340E">
        <w:trPr>
          <w:jc w:val="center"/>
        </w:trPr>
        <w:tc>
          <w:tcPr>
            <w:tcW w:w="3235" w:type="dxa"/>
            <w:shd w:val="clear" w:color="auto" w:fill="F2F2F2" w:themeFill="background1" w:themeFillShade="F2"/>
          </w:tcPr>
          <w:p w14:paraId="2DFBCCDB" w14:textId="1305849A" w:rsidR="0032340E" w:rsidRPr="00C34AD5" w:rsidRDefault="0032340E" w:rsidP="0032340E">
            <w:pPr>
              <w:jc w:val="center"/>
              <w:rPr>
                <w:b/>
                <w:bCs/>
                <w:sz w:val="20"/>
                <w:szCs w:val="20"/>
              </w:rPr>
            </w:pPr>
            <w:r w:rsidRPr="00C34AD5">
              <w:rPr>
                <w:b/>
                <w:bCs/>
                <w:sz w:val="20"/>
                <w:szCs w:val="20"/>
              </w:rPr>
              <w:t>Total Expense to be Recouped</w:t>
            </w:r>
          </w:p>
        </w:tc>
        <w:tc>
          <w:tcPr>
            <w:tcW w:w="3510" w:type="dxa"/>
            <w:shd w:val="clear" w:color="auto" w:fill="F2F2F2" w:themeFill="background1" w:themeFillShade="F2"/>
          </w:tcPr>
          <w:p w14:paraId="2FEEAD19" w14:textId="35921F73" w:rsidR="0032340E" w:rsidRPr="00C34AD5" w:rsidRDefault="0032340E" w:rsidP="0032340E">
            <w:pPr>
              <w:jc w:val="center"/>
              <w:rPr>
                <w:b/>
                <w:bCs/>
                <w:sz w:val="20"/>
                <w:szCs w:val="20"/>
              </w:rPr>
            </w:pPr>
            <w:r w:rsidRPr="00C34AD5">
              <w:rPr>
                <w:b/>
                <w:bCs/>
                <w:sz w:val="20"/>
                <w:szCs w:val="20"/>
              </w:rPr>
              <w:t>Number of Paycheck Deduction</w:t>
            </w:r>
          </w:p>
        </w:tc>
      </w:tr>
      <w:tr w:rsidR="0032340E" w:rsidRPr="00C34AD5" w14:paraId="6DBD9831" w14:textId="77777777" w:rsidTr="0032340E">
        <w:trPr>
          <w:jc w:val="center"/>
        </w:trPr>
        <w:tc>
          <w:tcPr>
            <w:tcW w:w="3235" w:type="dxa"/>
          </w:tcPr>
          <w:p w14:paraId="52143A56" w14:textId="5CF27E9E" w:rsidR="0032340E" w:rsidRPr="00C34AD5" w:rsidRDefault="0032340E" w:rsidP="0032340E">
            <w:pPr>
              <w:jc w:val="center"/>
              <w:rPr>
                <w:sz w:val="20"/>
                <w:szCs w:val="20"/>
              </w:rPr>
            </w:pPr>
            <w:r w:rsidRPr="00C34AD5">
              <w:rPr>
                <w:sz w:val="20"/>
                <w:szCs w:val="20"/>
              </w:rPr>
              <w:t>&lt; $500</w:t>
            </w:r>
          </w:p>
        </w:tc>
        <w:tc>
          <w:tcPr>
            <w:tcW w:w="3510" w:type="dxa"/>
          </w:tcPr>
          <w:p w14:paraId="6D0ED992" w14:textId="67CDCCF3" w:rsidR="0032340E" w:rsidRPr="00C34AD5" w:rsidRDefault="0032340E" w:rsidP="0032340E">
            <w:pPr>
              <w:jc w:val="center"/>
              <w:rPr>
                <w:sz w:val="20"/>
                <w:szCs w:val="20"/>
              </w:rPr>
            </w:pPr>
            <w:r w:rsidRPr="00C34AD5">
              <w:rPr>
                <w:sz w:val="20"/>
                <w:szCs w:val="20"/>
              </w:rPr>
              <w:t>1 paycheck deduction</w:t>
            </w:r>
          </w:p>
        </w:tc>
      </w:tr>
      <w:tr w:rsidR="0032340E" w:rsidRPr="00C34AD5" w14:paraId="00624D28" w14:textId="77777777" w:rsidTr="0032340E">
        <w:trPr>
          <w:jc w:val="center"/>
        </w:trPr>
        <w:tc>
          <w:tcPr>
            <w:tcW w:w="3235" w:type="dxa"/>
          </w:tcPr>
          <w:p w14:paraId="1D848E35" w14:textId="5C0B7DA6" w:rsidR="0032340E" w:rsidRPr="00C34AD5" w:rsidRDefault="0032340E" w:rsidP="0032340E">
            <w:pPr>
              <w:jc w:val="center"/>
              <w:rPr>
                <w:sz w:val="20"/>
                <w:szCs w:val="20"/>
              </w:rPr>
            </w:pPr>
            <w:r w:rsidRPr="00C34AD5">
              <w:rPr>
                <w:sz w:val="20"/>
                <w:szCs w:val="20"/>
              </w:rPr>
              <w:t>Between $500 and $999</w:t>
            </w:r>
          </w:p>
        </w:tc>
        <w:tc>
          <w:tcPr>
            <w:tcW w:w="3510" w:type="dxa"/>
          </w:tcPr>
          <w:p w14:paraId="01504B38" w14:textId="4B4097D8" w:rsidR="0032340E" w:rsidRPr="00C34AD5" w:rsidRDefault="0032340E" w:rsidP="0032340E">
            <w:pPr>
              <w:jc w:val="center"/>
              <w:rPr>
                <w:sz w:val="20"/>
                <w:szCs w:val="20"/>
              </w:rPr>
            </w:pPr>
            <w:r w:rsidRPr="00C34AD5">
              <w:rPr>
                <w:sz w:val="20"/>
                <w:szCs w:val="20"/>
              </w:rPr>
              <w:t>2 paycheck deductions</w:t>
            </w:r>
          </w:p>
        </w:tc>
      </w:tr>
      <w:tr w:rsidR="0032340E" w:rsidRPr="00C34AD5" w14:paraId="6B47BB93" w14:textId="77777777" w:rsidTr="0032340E">
        <w:trPr>
          <w:jc w:val="center"/>
        </w:trPr>
        <w:tc>
          <w:tcPr>
            <w:tcW w:w="3235" w:type="dxa"/>
          </w:tcPr>
          <w:p w14:paraId="5636B8A5" w14:textId="3F2A37A3" w:rsidR="0032340E" w:rsidRPr="00C34AD5" w:rsidRDefault="0032340E" w:rsidP="0032340E">
            <w:pPr>
              <w:jc w:val="center"/>
              <w:rPr>
                <w:sz w:val="20"/>
                <w:szCs w:val="20"/>
              </w:rPr>
            </w:pPr>
            <w:r w:rsidRPr="00C34AD5">
              <w:rPr>
                <w:sz w:val="20"/>
                <w:szCs w:val="20"/>
              </w:rPr>
              <w:t>&gt; $1,000</w:t>
            </w:r>
          </w:p>
        </w:tc>
        <w:tc>
          <w:tcPr>
            <w:tcW w:w="3510" w:type="dxa"/>
          </w:tcPr>
          <w:p w14:paraId="0C56715D" w14:textId="1E9FF438" w:rsidR="0032340E" w:rsidRPr="00C34AD5" w:rsidRDefault="0032340E" w:rsidP="0032340E">
            <w:pPr>
              <w:jc w:val="center"/>
              <w:rPr>
                <w:sz w:val="20"/>
                <w:szCs w:val="20"/>
              </w:rPr>
            </w:pPr>
            <w:r w:rsidRPr="00C34AD5">
              <w:rPr>
                <w:sz w:val="20"/>
                <w:szCs w:val="20"/>
              </w:rPr>
              <w:t>3 (or more) paycheck deductions</w:t>
            </w:r>
          </w:p>
        </w:tc>
      </w:tr>
    </w:tbl>
    <w:p w14:paraId="63775E07" w14:textId="77777777" w:rsidR="009744F8" w:rsidRDefault="009744F8"/>
    <w:p w14:paraId="1497890A" w14:textId="728D4D7D" w:rsidR="000126DE" w:rsidRPr="008D6BB4" w:rsidRDefault="00B12A56">
      <w:pPr>
        <w:rPr>
          <w:b/>
          <w:bCs/>
          <w:u w:val="single"/>
        </w:rPr>
      </w:pPr>
      <w:r w:rsidRPr="008D6BB4">
        <w:rPr>
          <w:b/>
          <w:bCs/>
          <w:u w:val="single"/>
        </w:rPr>
        <w:lastRenderedPageBreak/>
        <w:t>Accounting Impact:</w:t>
      </w:r>
    </w:p>
    <w:p w14:paraId="5E88BB9D" w14:textId="37DE8B32" w:rsidR="00B12A56" w:rsidRDefault="00580185">
      <w:r w:rsidRPr="008D6BB4">
        <w:rPr>
          <w:u w:val="single"/>
        </w:rPr>
        <w:t>Step 0</w:t>
      </w:r>
      <w:r w:rsidR="008D6BB4" w:rsidRPr="008D6BB4">
        <w:rPr>
          <w:u w:val="single"/>
        </w:rPr>
        <w:t>a-b</w:t>
      </w:r>
      <w:r>
        <w:t xml:space="preserve">: </w:t>
      </w:r>
      <w:r w:rsidR="00B12A56">
        <w:t xml:space="preserve">Cardholder incurs charges on travel or procurement card.  UM makes weekly payments to US </w:t>
      </w:r>
      <w:r w:rsidR="008D6BB4">
        <w:t>B</w:t>
      </w:r>
      <w:r w:rsidR="00B12A56">
        <w:t>ank for transactions on the travel or procurement cards regardless of Workday expense report status for those transactions:</w:t>
      </w:r>
    </w:p>
    <w:p w14:paraId="41F09E1C" w14:textId="3D5C272D" w:rsidR="00B12A56" w:rsidRDefault="00B12A56" w:rsidP="008D6BB4">
      <w:pPr>
        <w:ind w:left="540"/>
      </w:pPr>
      <w:r>
        <w:t>DB: 2102 UBS Travel Card Liability</w:t>
      </w:r>
    </w:p>
    <w:p w14:paraId="277ACA89" w14:textId="60052DE9" w:rsidR="00B12A56" w:rsidRDefault="00B12A56" w:rsidP="008D6BB4">
      <w:pPr>
        <w:ind w:left="1170" w:hanging="630"/>
      </w:pPr>
      <w:r>
        <w:tab/>
        <w:t>CR: 2000 Accounts Payable</w:t>
      </w:r>
    </w:p>
    <w:p w14:paraId="73AAB754" w14:textId="69A2A4A3" w:rsidR="00184E0A" w:rsidRDefault="00184E0A" w:rsidP="008D6BB4">
      <w:pPr>
        <w:ind w:left="540"/>
      </w:pPr>
      <w:r>
        <w:t>DB: 2000 Accounts Payable</w:t>
      </w:r>
    </w:p>
    <w:p w14:paraId="62ECD719" w14:textId="4B2828C7" w:rsidR="00184E0A" w:rsidRDefault="00184E0A" w:rsidP="008D6BB4">
      <w:pPr>
        <w:ind w:left="1170" w:hanging="630"/>
      </w:pPr>
      <w:r>
        <w:tab/>
        <w:t>CR</w:t>
      </w:r>
      <w:r w:rsidRPr="008C04DE">
        <w:t>: 1000</w:t>
      </w:r>
      <w:r>
        <w:t xml:space="preserve"> Cash</w:t>
      </w:r>
    </w:p>
    <w:p w14:paraId="5C7BE87A" w14:textId="0A5241CF" w:rsidR="00B12A56" w:rsidRDefault="00B12A56">
      <w:r w:rsidRPr="008D6BB4">
        <w:rPr>
          <w:u w:val="single"/>
        </w:rPr>
        <w:t>Step 2a</w:t>
      </w:r>
      <w:r>
        <w:t xml:space="preserve">: Card holder creates and submits expense </w:t>
      </w:r>
      <w:proofErr w:type="gramStart"/>
      <w:r>
        <w:t>report</w:t>
      </w:r>
      <w:proofErr w:type="gramEnd"/>
      <w:r>
        <w:t xml:space="preserve"> with transactions aged greater than 60 days.  Therefore, the expenses are out of compliance with UM’s policy and deemed to be personal:</w:t>
      </w:r>
    </w:p>
    <w:p w14:paraId="4AAB625D" w14:textId="17205835" w:rsidR="00B12A56" w:rsidRDefault="00184E0A" w:rsidP="008D6BB4">
      <w:pPr>
        <w:ind w:left="540"/>
      </w:pPr>
      <w:r>
        <w:t xml:space="preserve">DB: </w:t>
      </w:r>
      <w:r w:rsidR="009B5F1A">
        <w:t xml:space="preserve">2007 </w:t>
      </w:r>
      <w:r w:rsidR="009B5F1A" w:rsidRPr="009B5F1A">
        <w:t>Procurement Card/Travel Card Recovery</w:t>
      </w:r>
    </w:p>
    <w:p w14:paraId="56F4493B" w14:textId="767FAC5B" w:rsidR="00184E0A" w:rsidRDefault="00184E0A" w:rsidP="008D6BB4">
      <w:pPr>
        <w:ind w:left="1170" w:hanging="900"/>
      </w:pPr>
      <w:r>
        <w:tab/>
        <w:t>CR: 2104 Travel Card Clearing</w:t>
      </w:r>
    </w:p>
    <w:p w14:paraId="08C0D332" w14:textId="423CD0A6" w:rsidR="00184E0A" w:rsidRDefault="00184E0A" w:rsidP="00E40A3C">
      <w:r w:rsidRPr="008D6BB4">
        <w:rPr>
          <w:u w:val="single"/>
        </w:rPr>
        <w:t xml:space="preserve">Step </w:t>
      </w:r>
      <w:r w:rsidR="00E40A3C" w:rsidRPr="008D6BB4">
        <w:rPr>
          <w:u w:val="single"/>
        </w:rPr>
        <w:t>4</w:t>
      </w:r>
      <w:r w:rsidR="00E40A3C">
        <w:t>: Expense report settles.</w:t>
      </w:r>
    </w:p>
    <w:p w14:paraId="28AC7F60" w14:textId="66CE75E4" w:rsidR="00E40A3C" w:rsidRDefault="00E40A3C" w:rsidP="008D6BB4">
      <w:pPr>
        <w:ind w:left="540"/>
      </w:pPr>
      <w:r>
        <w:t>DB: 2104</w:t>
      </w:r>
      <w:r w:rsidRPr="00E40A3C">
        <w:t xml:space="preserve"> </w:t>
      </w:r>
      <w:r>
        <w:t>Travel Card Clearing</w:t>
      </w:r>
    </w:p>
    <w:p w14:paraId="3CE142E6" w14:textId="151E4A11" w:rsidR="008C04DE" w:rsidRDefault="008C04DE" w:rsidP="008D6BB4">
      <w:pPr>
        <w:ind w:left="1170" w:hanging="1170"/>
      </w:pPr>
      <w:r>
        <w:tab/>
        <w:t>CR: 2102 UBS Travel Card Liability</w:t>
      </w:r>
    </w:p>
    <w:p w14:paraId="542DB467" w14:textId="057FAB25" w:rsidR="00184E0A" w:rsidRDefault="00184E0A">
      <w:r w:rsidRPr="008D6BB4">
        <w:rPr>
          <w:u w:val="single"/>
        </w:rPr>
        <w:t>Step 6</w:t>
      </w:r>
      <w:r>
        <w:t>: Payroll deduction is completed for those transactions determined to be out of compliance and therefore personal expenses:</w:t>
      </w:r>
    </w:p>
    <w:p w14:paraId="4D2A95EC" w14:textId="753B1901" w:rsidR="00184E0A" w:rsidRDefault="00184E0A" w:rsidP="008D6BB4">
      <w:pPr>
        <w:ind w:left="540"/>
      </w:pPr>
      <w:r>
        <w:t>DB: 6005 Salaries and Wages</w:t>
      </w:r>
    </w:p>
    <w:p w14:paraId="354DE8C8" w14:textId="134A3977" w:rsidR="008D6BB4" w:rsidRDefault="00184E0A" w:rsidP="00704A82">
      <w:pPr>
        <w:ind w:left="1260" w:hanging="1260"/>
      </w:pPr>
      <w:r>
        <w:tab/>
        <w:t xml:space="preserve">CR: </w:t>
      </w:r>
      <w:bookmarkStart w:id="0" w:name="_Hlk196479898"/>
      <w:r>
        <w:t>2</w:t>
      </w:r>
      <w:r w:rsidR="009B5F1A">
        <w:t xml:space="preserve">007 </w:t>
      </w:r>
      <w:r w:rsidR="009B5F1A" w:rsidRPr="009B5F1A">
        <w:t>Procurement Card/Travel Card Recovery</w:t>
      </w:r>
      <w:bookmarkEnd w:id="0"/>
    </w:p>
    <w:p w14:paraId="6B3BD527" w14:textId="77777777" w:rsidR="00704A82" w:rsidRDefault="00704A82" w:rsidP="00CF568B"/>
    <w:p w14:paraId="680F6F57" w14:textId="6D14F111" w:rsidR="00184E0A" w:rsidRPr="008D6BB4" w:rsidRDefault="00184E0A">
      <w:pPr>
        <w:rPr>
          <w:b/>
          <w:bCs/>
          <w:u w:val="single"/>
        </w:rPr>
      </w:pPr>
      <w:r w:rsidRPr="008D6BB4">
        <w:rPr>
          <w:b/>
          <w:bCs/>
          <w:u w:val="single"/>
        </w:rPr>
        <w:t>Summary of Accounting Transactions:</w:t>
      </w:r>
    </w:p>
    <w:p w14:paraId="28747529" w14:textId="337291B1" w:rsidR="00184E0A" w:rsidRDefault="008D6BB4">
      <w:r>
        <w:rPr>
          <w:noProof/>
        </w:rPr>
        <w:drawing>
          <wp:inline distT="0" distB="0" distL="0" distR="0" wp14:anchorId="4D4C001A" wp14:editId="087F4914">
            <wp:extent cx="5943600" cy="1402080"/>
            <wp:effectExtent l="0" t="0" r="0" b="7620"/>
            <wp:docPr id="1005743211" name="Picture 1" descr="A white background with black line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43211" name="Picture 1" descr="A white background with black lines and text&#10;&#10;AI-generated content may be incorrect."/>
                    <pic:cNvPicPr/>
                  </pic:nvPicPr>
                  <pic:blipFill>
                    <a:blip r:embed="rId7"/>
                    <a:stretch>
                      <a:fillRect/>
                    </a:stretch>
                  </pic:blipFill>
                  <pic:spPr>
                    <a:xfrm>
                      <a:off x="0" y="0"/>
                      <a:ext cx="5943600" cy="1402080"/>
                    </a:xfrm>
                    <a:prstGeom prst="rect">
                      <a:avLst/>
                    </a:prstGeom>
                  </pic:spPr>
                </pic:pic>
              </a:graphicData>
            </a:graphic>
          </wp:inline>
        </w:drawing>
      </w:r>
    </w:p>
    <w:sectPr w:rsidR="00184E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9E6"/>
    <w:rsid w:val="000126DE"/>
    <w:rsid w:val="000901A2"/>
    <w:rsid w:val="00100957"/>
    <w:rsid w:val="0016084B"/>
    <w:rsid w:val="00184E0A"/>
    <w:rsid w:val="00221BA5"/>
    <w:rsid w:val="0032340E"/>
    <w:rsid w:val="00335DE1"/>
    <w:rsid w:val="00366879"/>
    <w:rsid w:val="0040498E"/>
    <w:rsid w:val="004F31DD"/>
    <w:rsid w:val="00526507"/>
    <w:rsid w:val="00532BEF"/>
    <w:rsid w:val="00580185"/>
    <w:rsid w:val="006049EC"/>
    <w:rsid w:val="00666236"/>
    <w:rsid w:val="006B1F3A"/>
    <w:rsid w:val="00704A82"/>
    <w:rsid w:val="007E7C11"/>
    <w:rsid w:val="008C04DE"/>
    <w:rsid w:val="008D6BB4"/>
    <w:rsid w:val="009309E6"/>
    <w:rsid w:val="009427C1"/>
    <w:rsid w:val="009744F8"/>
    <w:rsid w:val="009B5F1A"/>
    <w:rsid w:val="00AA4AA2"/>
    <w:rsid w:val="00B12A56"/>
    <w:rsid w:val="00B40F8C"/>
    <w:rsid w:val="00BE6BBF"/>
    <w:rsid w:val="00C34AD5"/>
    <w:rsid w:val="00CF568B"/>
    <w:rsid w:val="00D625F9"/>
    <w:rsid w:val="00E40A3C"/>
    <w:rsid w:val="00E41781"/>
    <w:rsid w:val="00FE7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19B98"/>
  <w15:chartTrackingRefBased/>
  <w15:docId w15:val="{BD49FC81-4101-40F9-B038-61FE7C713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09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09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09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09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09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09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09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09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09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9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09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09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09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09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09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09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09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09E6"/>
    <w:rPr>
      <w:rFonts w:eastAsiaTheme="majorEastAsia" w:cstheme="majorBidi"/>
      <w:color w:val="272727" w:themeColor="text1" w:themeTint="D8"/>
    </w:rPr>
  </w:style>
  <w:style w:type="paragraph" w:styleId="Title">
    <w:name w:val="Title"/>
    <w:basedOn w:val="Normal"/>
    <w:next w:val="Normal"/>
    <w:link w:val="TitleChar"/>
    <w:uiPriority w:val="10"/>
    <w:qFormat/>
    <w:rsid w:val="009309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09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09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09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09E6"/>
    <w:pPr>
      <w:spacing w:before="160"/>
      <w:jc w:val="center"/>
    </w:pPr>
    <w:rPr>
      <w:i/>
      <w:iCs/>
      <w:color w:val="404040" w:themeColor="text1" w:themeTint="BF"/>
    </w:rPr>
  </w:style>
  <w:style w:type="character" w:customStyle="1" w:styleId="QuoteChar">
    <w:name w:val="Quote Char"/>
    <w:basedOn w:val="DefaultParagraphFont"/>
    <w:link w:val="Quote"/>
    <w:uiPriority w:val="29"/>
    <w:rsid w:val="009309E6"/>
    <w:rPr>
      <w:i/>
      <w:iCs/>
      <w:color w:val="404040" w:themeColor="text1" w:themeTint="BF"/>
    </w:rPr>
  </w:style>
  <w:style w:type="paragraph" w:styleId="ListParagraph">
    <w:name w:val="List Paragraph"/>
    <w:basedOn w:val="Normal"/>
    <w:uiPriority w:val="34"/>
    <w:qFormat/>
    <w:rsid w:val="009309E6"/>
    <w:pPr>
      <w:ind w:left="720"/>
      <w:contextualSpacing/>
    </w:pPr>
  </w:style>
  <w:style w:type="character" w:styleId="IntenseEmphasis">
    <w:name w:val="Intense Emphasis"/>
    <w:basedOn w:val="DefaultParagraphFont"/>
    <w:uiPriority w:val="21"/>
    <w:qFormat/>
    <w:rsid w:val="009309E6"/>
    <w:rPr>
      <w:i/>
      <w:iCs/>
      <w:color w:val="0F4761" w:themeColor="accent1" w:themeShade="BF"/>
    </w:rPr>
  </w:style>
  <w:style w:type="paragraph" w:styleId="IntenseQuote">
    <w:name w:val="Intense Quote"/>
    <w:basedOn w:val="Normal"/>
    <w:next w:val="Normal"/>
    <w:link w:val="IntenseQuoteChar"/>
    <w:uiPriority w:val="30"/>
    <w:qFormat/>
    <w:rsid w:val="009309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09E6"/>
    <w:rPr>
      <w:i/>
      <w:iCs/>
      <w:color w:val="0F4761" w:themeColor="accent1" w:themeShade="BF"/>
    </w:rPr>
  </w:style>
  <w:style w:type="character" w:styleId="IntenseReference">
    <w:name w:val="Intense Reference"/>
    <w:basedOn w:val="DefaultParagraphFont"/>
    <w:uiPriority w:val="32"/>
    <w:qFormat/>
    <w:rsid w:val="009309E6"/>
    <w:rPr>
      <w:b/>
      <w:bCs/>
      <w:smallCaps/>
      <w:color w:val="0F4761" w:themeColor="accent1" w:themeShade="BF"/>
      <w:spacing w:val="5"/>
    </w:rPr>
  </w:style>
  <w:style w:type="character" w:styleId="Hyperlink">
    <w:name w:val="Hyperlink"/>
    <w:basedOn w:val="DefaultParagraphFont"/>
    <w:uiPriority w:val="99"/>
    <w:unhideWhenUsed/>
    <w:rsid w:val="0040498E"/>
    <w:rPr>
      <w:color w:val="467886" w:themeColor="hyperlink"/>
      <w:u w:val="single"/>
    </w:rPr>
  </w:style>
  <w:style w:type="character" w:styleId="UnresolvedMention">
    <w:name w:val="Unresolved Mention"/>
    <w:basedOn w:val="DefaultParagraphFont"/>
    <w:uiPriority w:val="99"/>
    <w:semiHidden/>
    <w:unhideWhenUsed/>
    <w:rsid w:val="0040498E"/>
    <w:rPr>
      <w:color w:val="605E5C"/>
      <w:shd w:val="clear" w:color="auto" w:fill="E1DFDD"/>
    </w:rPr>
  </w:style>
  <w:style w:type="table" w:styleId="TableGrid">
    <w:name w:val="Table Grid"/>
    <w:basedOn w:val="TableNormal"/>
    <w:uiPriority w:val="39"/>
    <w:rsid w:val="00323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y.hr.miami.edu/workingattheu-internal/payroll/pay-schedules/index.html"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6173</TotalTime>
  <Pages>3</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Spagnoli, Briana</dc:creator>
  <cp:keywords/>
  <dc:description/>
  <cp:lastModifiedBy>Spagnoli, Briana</cp:lastModifiedBy>
  <cp:revision>16</cp:revision>
  <dcterms:created xsi:type="dcterms:W3CDTF">2025-04-08T14:30:00Z</dcterms:created>
  <dcterms:modified xsi:type="dcterms:W3CDTF">2025-04-25T18:13:00Z</dcterms:modified>
</cp:coreProperties>
</file>